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D71DA0" w:rsidRPr="00D71DA0" w14:paraId="6E35F8BE" w14:textId="77777777" w:rsidTr="000F50C3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3335E8EF" w14:textId="77777777" w:rsidR="00D71DA0" w:rsidRPr="00D71DA0" w:rsidRDefault="00D71DA0" w:rsidP="00D71DA0">
            <w:pPr>
              <w:spacing w:before="120" w:after="0" w:line="240" w:lineRule="auto"/>
              <w:ind w:hanging="45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bookmarkStart w:id="0" w:name="t1"/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Nazwa projektu</w:t>
            </w:r>
          </w:p>
          <w:p w14:paraId="3635F270" w14:textId="77777777" w:rsidR="00D71DA0" w:rsidRPr="00D71DA0" w:rsidRDefault="00D71DA0" w:rsidP="00D71DA0">
            <w:pPr>
              <w:spacing w:after="0" w:line="240" w:lineRule="auto"/>
              <w:ind w:hanging="45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bookmarkStart w:id="1" w:name="t2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projekt rozporządzenia Ministra Zdrowia w sprawie r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2"/>
                <w:szCs w:val="22"/>
                <w:lang w:eastAsia="pl-PL"/>
                <w14:ligatures w14:val="none"/>
              </w:rPr>
              <w:t>ejestru endoprotezoplasty</w:t>
            </w:r>
            <w:bookmarkEnd w:id="1"/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2"/>
                <w:szCs w:val="22"/>
                <w:lang w:eastAsia="pl-PL"/>
                <w14:ligatures w14:val="none"/>
              </w:rPr>
              <w:t>k</w:t>
            </w:r>
          </w:p>
          <w:p w14:paraId="4EA295D1" w14:textId="77777777" w:rsidR="00D71DA0" w:rsidRPr="00D71DA0" w:rsidRDefault="00D71DA0" w:rsidP="00D71DA0">
            <w:pPr>
              <w:spacing w:before="120" w:after="0" w:line="240" w:lineRule="auto"/>
              <w:ind w:hanging="4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Ministerstwo wiodące i ministerstwa współpracujące</w:t>
            </w:r>
          </w:p>
          <w:p w14:paraId="4E5A58AE" w14:textId="77777777" w:rsidR="00D71DA0" w:rsidRPr="00D71DA0" w:rsidRDefault="00D71DA0" w:rsidP="00D71DA0">
            <w:pPr>
              <w:spacing w:after="0" w:line="240" w:lineRule="auto"/>
              <w:ind w:hanging="34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Ministerstwo Zdrowia</w:t>
            </w:r>
            <w:bookmarkEnd w:id="0"/>
          </w:p>
          <w:p w14:paraId="7B08D84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1"/>
                <w14:ligatures w14:val="none"/>
              </w:rPr>
            </w:pPr>
          </w:p>
          <w:p w14:paraId="1D5F4B62" w14:textId="77777777" w:rsid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14:ligatures w14:val="none"/>
              </w:rPr>
              <w:t>Osoba odpowiedzialna za projekt w randze Ministra, Sekretarza Stanu lub Podsekretarza Stanu</w:t>
            </w: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  <w:t xml:space="preserve"> </w:t>
            </w:r>
          </w:p>
          <w:p w14:paraId="4387A8CA" w14:textId="1DD008EE" w:rsidR="004B6FD8" w:rsidRPr="004B6FD8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1"/>
                <w:szCs w:val="21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bCs/>
                <w:kern w:val="0"/>
                <w:sz w:val="21"/>
                <w:szCs w:val="21"/>
                <w14:ligatures w14:val="none"/>
              </w:rPr>
              <w:t>Tomasz Maciejewski – Podsekretarz Stanu w Ministerstwie Zdrowia</w:t>
            </w:r>
          </w:p>
          <w:p w14:paraId="65559A62" w14:textId="77777777" w:rsidR="00D71DA0" w:rsidRPr="00D71DA0" w:rsidRDefault="00D71DA0" w:rsidP="00D71DA0">
            <w:pPr>
              <w:spacing w:before="120" w:after="0" w:line="240" w:lineRule="auto"/>
              <w:ind w:hanging="4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Kontakt do opiekuna merytorycznego projektu</w:t>
            </w:r>
          </w:p>
          <w:p w14:paraId="201084BC" w14:textId="77777777" w:rsidR="00D71DA0" w:rsidRPr="00D71DA0" w:rsidRDefault="00D71DA0" w:rsidP="00D71DA0">
            <w:pPr>
              <w:spacing w:after="0" w:line="240" w:lineRule="auto"/>
              <w:ind w:hanging="3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Pani Dominika Janiszewska-Kajka, Zastępca Dyrektora Departamentu Lecznictwa w Ministerstwie Zdrowia,</w:t>
            </w:r>
          </w:p>
          <w:p w14:paraId="34C0DFB0" w14:textId="77777777" w:rsidR="00D71DA0" w:rsidRPr="00A47648" w:rsidRDefault="00D71DA0" w:rsidP="00D71DA0">
            <w:pPr>
              <w:spacing w:after="0" w:line="240" w:lineRule="auto"/>
              <w:ind w:hanging="34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s-ES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 xml:space="preserve">tel. (22) 530 02 84, e-mail: </w:t>
            </w:r>
            <w:hyperlink r:id="rId5" w:history="1">
              <w:r w:rsidRPr="00D71DA0">
                <w:rPr>
                  <w:rFonts w:ascii="Times New Roman" w:eastAsia="Calibri" w:hAnsi="Times New Roman" w:cs="Times New Roman"/>
                  <w:color w:val="0000FF"/>
                  <w:kern w:val="0"/>
                  <w:sz w:val="22"/>
                  <w:szCs w:val="22"/>
                  <w:u w:val="single"/>
                  <w:lang w:val="en-US"/>
                  <w14:ligatures w14:val="none"/>
                </w:rPr>
                <w:t>dep-dl@mz.gov.pl</w:t>
              </w:r>
            </w:hyperlink>
          </w:p>
        </w:tc>
        <w:tc>
          <w:tcPr>
            <w:tcW w:w="4306" w:type="dxa"/>
            <w:gridSpan w:val="12"/>
            <w:shd w:val="clear" w:color="auto" w:fill="FFFFFF"/>
          </w:tcPr>
          <w:p w14:paraId="66523009" w14:textId="61BA5EB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  <w:t>Data sporządzenia</w:t>
            </w: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  <w:br/>
            </w:r>
            <w:r w:rsidR="00E921B8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3</w:t>
            </w:r>
            <w:r w:rsidR="00004F2D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1</w:t>
            </w:r>
            <w:r w:rsidRPr="00D71DA0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.</w:t>
            </w:r>
            <w:r w:rsidR="000E58A2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10</w:t>
            </w:r>
            <w:r w:rsidRPr="00D71DA0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.2025 r.</w:t>
            </w:r>
          </w:p>
          <w:p w14:paraId="7A09C5F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</w:p>
          <w:p w14:paraId="63FBDEB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Źródło: </w:t>
            </w:r>
            <w:bookmarkStart w:id="2" w:name="Lista1"/>
          </w:p>
          <w:bookmarkEnd w:id="2"/>
          <w:p w14:paraId="509BA117" w14:textId="21E0D745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art. 20 ust. 1 ustawy z dnia 28 kwietnia </w:t>
            </w: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br/>
              <w:t>2011 r. o systemie informacji w ochronie zdrowia (Dz. U. z 2025 r. poz. 302</w:t>
            </w:r>
            <w:r w:rsidR="00C63B7A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, z późn. zm.</w:t>
            </w: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)</w:t>
            </w:r>
          </w:p>
          <w:p w14:paraId="7D7FD94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</w:p>
          <w:p w14:paraId="1D60D842" w14:textId="77777777" w:rsidR="006A674B" w:rsidRDefault="00D71DA0" w:rsidP="00D71DA0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w Wykazie prac legislacyjnych Ministra Zdrowia: </w:t>
            </w:r>
          </w:p>
          <w:p w14:paraId="2CC05908" w14:textId="15A9EFB7" w:rsidR="00D71DA0" w:rsidRPr="00D71DA0" w:rsidRDefault="00D71DA0" w:rsidP="00D71DA0">
            <w:pPr>
              <w:spacing w:before="120"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MZ </w:t>
            </w:r>
            <w:r w:rsidR="006A674B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  <w:t>DER</w:t>
            </w:r>
            <w:r w:rsidRPr="00D71DA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  <w:t>1804</w:t>
            </w:r>
          </w:p>
          <w:p w14:paraId="6A245DB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5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  <w:p w14:paraId="102B750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D71DA0" w:rsidRPr="00D71DA0" w14:paraId="04CE86DC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7947162" w14:textId="77777777" w:rsidR="00D71DA0" w:rsidRPr="00D71DA0" w:rsidRDefault="00D71DA0" w:rsidP="00D71DA0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color w:val="FFFFFF"/>
                <w:kern w:val="0"/>
                <w:sz w:val="32"/>
                <w:szCs w:val="3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FFFFFF"/>
                <w:kern w:val="0"/>
                <w:sz w:val="32"/>
                <w:szCs w:val="32"/>
                <w14:ligatures w14:val="none"/>
              </w:rPr>
              <w:t>OCENA SKUTKÓW REGULACJI</w:t>
            </w:r>
          </w:p>
        </w:tc>
      </w:tr>
      <w:tr w:rsidR="00D71DA0" w:rsidRPr="00D71DA0" w14:paraId="7B330F56" w14:textId="77777777" w:rsidTr="000F50C3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21859A0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Jaki problem jest rozwiązywany?</w:t>
            </w:r>
            <w:bookmarkStart w:id="3" w:name="Wybór1"/>
            <w:bookmarkEnd w:id="3"/>
          </w:p>
        </w:tc>
      </w:tr>
      <w:tr w:rsidR="00D71DA0" w:rsidRPr="00D71DA0" w14:paraId="6775B247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0829B969" w14:textId="4C3E37C3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Rejestr endoprotezoplastyk został utworzony rozporządzeniem Ministra Zdrowia z dnia 3 grudnia 2019 r. w sprawie rejestru endoprotezoplastyk (Dz.</w:t>
            </w:r>
            <w:r w:rsidR="007C5F8F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U. poz. 2409), wydanym na podstawie art. 20 ust. 1 ustawy z dnia 28 kwietnia 2011 r. </w:t>
            </w:r>
            <w:r w:rsidR="007C5F8F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br/>
            </w: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o systemie informacji w ochronie zdrowia</w:t>
            </w:r>
            <w:r w:rsidR="00AD5FD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43BAB900" w14:textId="77777777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Celem projektowanego rozporządzenia jest wdrożenie rozwiązań o charakterze deregulacyjnym, które umożliwią podmiotom obowiązanym raportowanie jedynie niezbędnych do funkcjonowania rejestru danych i identyfikatorów, eliminując przy tym obowiązek raportowania tych danych, których dalsze przetwarzanie jest niecelowe oraz nie charakteryzujące się wartością statystyczno-analityczną. Ponadto podczas kilku lat funkcjonowania rejestru pojawiła się konieczność wprowadzenia nowych rozwiązań, zapewniających systematyczny proces monitorowania danych dotyczących endoprotezoplastyk i wprowadzenia ustrukturyzowanego systemu, co umożliwi poznanie rzeczywistego zapotrzebowania na endoprotezoplastykę, informacji o zabiegach, a także bardziej racjonalne projektowanie wydatków przeznaczanych na ten cel. </w:t>
            </w:r>
          </w:p>
          <w:p w14:paraId="70E049A2" w14:textId="5114F0D6" w:rsidR="00D71DA0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Wprowadzenie rozwiązań proponowanych w projektowanym rozporządzeniu jest możliwe wyłącznie przez wydanie nowego aktu wykonawczego. Jest to spowodowane tym, że na podstawie art. 65 ustawy z dnia 16 czerwca 2023 r. o jakości w opiece zdrowotnej i bezpieczeństwie pacjenta (Dz.</w:t>
            </w:r>
            <w:r w:rsidR="007C5F8F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U. poz. 1692) dotychczasowe przepisy wykonawcze wydane na podstawie art. 20 ust. 1 ustawy z dnia 28 kwietnia 2011 r. o systemie informacji w ochronie zdrowia, zachowują moc nie dłużej niż do dnia 31 grudnia 2027 r. Natomiast § 34 rozporządzenia Prezesa Rady Ministrów z dnia 20 czerwca </w:t>
            </w:r>
            <w:r w:rsidR="007C5F8F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br/>
            </w: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2002 r. w sprawie „Zasad techniki prawodawczej” (Dz. U. z 2016 r. poz. 283) stanowi, że nie nowelizuje się aktu wykonawczego zachowanego czasowo w mocy przez nową ustawę, chyba że ustawa ta wyraźnie przewiduje taką możliwość. Z uwagi na powyższe, aby wprowadzić proponowane rozwiązania oraz zapewnić ciągłość funkcjonowania rejestru niezbędne jest wydanie nowego rozporządzenia.</w:t>
            </w:r>
          </w:p>
        </w:tc>
      </w:tr>
      <w:tr w:rsidR="00D71DA0" w:rsidRPr="00D71DA0" w14:paraId="5ECEAF59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9453353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Rekomendowane rozwiązanie, w tym planowane narzędzia interwencji, i oczekiwany efekt</w:t>
            </w:r>
          </w:p>
        </w:tc>
      </w:tr>
      <w:tr w:rsidR="00D71DA0" w:rsidRPr="00D71DA0" w14:paraId="4D52CBF7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877CD97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Rozwiązaniem powyższych problemów jest dalsze funkcjonowanie rejestru endoprotezoplastyk. </w:t>
            </w:r>
          </w:p>
          <w:p w14:paraId="1716F44C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Dalsze prowadzenie rejestru pozwoli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eastAsia="pl-PL" w:bidi="pl-PL"/>
                <w14:ligatures w14:val="none"/>
              </w:rPr>
              <w:t>na:</w:t>
            </w:r>
          </w:p>
          <w:p w14:paraId="66A6C44D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prowadzenie analiz statystycznych dotyczących m.in.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: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liczby wykonanych poszczególnych endoprotez stawowych w danym okresie, liczby występujących powikłań, liczby i rodzajów najczęściej wszczepianych elementów, wskazanie świadczeniodawców, którzy wszczepiają najwięcej poszczególnych endoprotez, wskazanie świadczeniodawców, którzy wykonują zabiegi rewizyjne wraz z liczbą zabiegów, porównanie danych dla jednego województwa, dla kilku jak i dla całego kraju, przedstawienie migracji pacjentów między województwami w celu uzyskania świadczenia endoprotezoplastyki, określenie liczby i rodzajów endoprotez;</w:t>
            </w:r>
          </w:p>
          <w:p w14:paraId="26C59CC2" w14:textId="2B6824E0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obserwację skuteczności implantacji, a przede wszystkim okresy użyteczności poszczególnych rodzajów i typów endoprotez</w:t>
            </w:r>
            <w:r w:rsidR="0066172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;</w:t>
            </w:r>
          </w:p>
          <w:p w14:paraId="061B8FB4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prowadzenia analiz efektywności danych typów endoprotez w odniesieniu np. do wieku, rozpoznania;</w:t>
            </w:r>
          </w:p>
          <w:p w14:paraId="6A649BF8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prowadzenie analiz pozwalających na podejmowanie optymalnych decyzji związanych z leczeniem chorych;</w:t>
            </w:r>
          </w:p>
          <w:p w14:paraId="30C0600C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podnoszenie standardów leczenia;</w:t>
            </w:r>
          </w:p>
          <w:p w14:paraId="5F3175DD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poprawę jakości i zakresu odpowiednich danych dotyczących operacji wymiany stawu w celu wczesnego ostrzegania o kwestiach związanych z bezpieczeństwem pacjentów;</w:t>
            </w:r>
          </w:p>
          <w:p w14:paraId="07838065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planowanie przez usługodawców zakupu wyrobów medycznych, które dzięki analizom prowadzonym w rejestrze wpłyną na optymalizację zakupów wysokiej jakości implantów.</w:t>
            </w:r>
          </w:p>
          <w:p w14:paraId="762039B5" w14:textId="23E5D844" w:rsidR="00D71DA0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Wysoka jakość danych zapewni wysokie prawdopodobieństwo poprawności wniosków wyciąganych na podstawie zebranych informacji, a tym samym racjonalne podstawy do podejmowania decyzji kształtujących politykę zdrowotną </w:t>
            </w:r>
            <w:r w:rsidR="00144E4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br/>
            </w: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i finansową w obszarze endoprotezoplastyki.</w:t>
            </w:r>
          </w:p>
        </w:tc>
      </w:tr>
      <w:tr w:rsidR="00D71DA0" w:rsidRPr="00D71DA0" w14:paraId="2DE2DF3B" w14:textId="77777777" w:rsidTr="000F50C3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7C679C44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2"/>
                <w:szCs w:val="22"/>
                <w14:ligatures w14:val="none"/>
              </w:rPr>
              <w:t>Jak problem został rozwiązany w innych krajach, w szczególności krajach członkowskich OECD/UE</w:t>
            </w: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  <w:r w:rsidRPr="00D71DA0">
              <w:rPr>
                <w:rFonts w:ascii="Times New Roman" w:eastAsia="Calibri" w:hAnsi="Times New Roman" w:cs="Times New Roman"/>
                <w:i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D71DA0" w:rsidRPr="00D71DA0" w14:paraId="0402D59C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66252E53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lastRenderedPageBreak/>
              <w:t>Problem braku narzędzi do gromadzenia danych pozwalających na monitorowanie jakości świadczeń opieki zdrowotnej, efektywności technologii medycznych i kosztów jest rozwiązany w innych krajach przez tworzenie rejestrów medycznych.</w:t>
            </w:r>
          </w:p>
          <w:p w14:paraId="3B6F06CF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Przykładowymi rejestrami endoprotez w innych krajach są w:</w:t>
            </w:r>
          </w:p>
          <w:p w14:paraId="2D65192E" w14:textId="77777777" w:rsidR="004B6FD8" w:rsidRPr="00D71DA0" w:rsidRDefault="004B6FD8" w:rsidP="004B6FD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 xml:space="preserve">Wielkiej Brytanii –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  <w:t>The National Joint Registry (NJR) for England, Wales, Northern Ireland and the Isle of Man.</w:t>
            </w:r>
          </w:p>
          <w:p w14:paraId="1A83B55B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powstał w 2002 r. w celu monitorowania operacji wszczepienia endoprotez i wymiany implantów (co najmniej dane dotyczące liczby operacji), monitorowania efektywności stosowanych procedur chirurgicznych, poprawy standardu świadczeń wszczepienia i wymiany implantów. Rejestr jest wykorzystywany również do kalkulowania taryf za operacje wszczepienia lub wymiany implantów stawów biodrowych i kolanowych.</w:t>
            </w:r>
          </w:p>
          <w:p w14:paraId="49D12E03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gromadzi informacje o wszystkich operacjach wymiany stawów biodrowych, kolanowych, łokciowych, i barkowych.</w:t>
            </w:r>
          </w:p>
          <w:p w14:paraId="78DF0DA4" w14:textId="77777777" w:rsidR="004B6FD8" w:rsidRPr="00D71DA0" w:rsidRDefault="004B6FD8" w:rsidP="004B6FD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Szwecji – Swedish Knee Arthroplasty Register</w:t>
            </w:r>
          </w:p>
          <w:p w14:paraId="201B43A4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powstał w 1975 r. Rejestr początkowo obejmował operacje stawów kolanowych a następnie był rozszerzany (stawy biodrowe od 1979).</w:t>
            </w:r>
          </w:p>
          <w:p w14:paraId="50FEB62E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gromadzi dane epidemiologiczne, a także dane dotyczące operacji wszczepienia i wymiany implantów, jakości używanych implantów, jakości stosowanych procedur, wyników leczenia w perspektywie 90 dni, kosztów ponoszonych w związku z operacjami. Rejestr prowadzony jest w celu poprawy jakości świadczeń opieki zdrowotnej oraz monitorowania efektywności kosztowej stosowanych rozwiązań.</w:t>
            </w:r>
          </w:p>
          <w:p w14:paraId="569FE71D" w14:textId="77777777" w:rsidR="004B6FD8" w:rsidRPr="00D71DA0" w:rsidRDefault="004B6FD8" w:rsidP="004B6FD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  <w:t>Kanadzie – Canadian Joint Replacement Registry (CJRR)</w:t>
            </w:r>
          </w:p>
          <w:p w14:paraId="19B3063B" w14:textId="4F722CA9" w:rsidR="00D71DA0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Rejestr utworzono w 2001 r. W rejestrze gromadzone są dane epidemiologiczne dotyczące wszczepienia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br/>
              <w:t xml:space="preserve">i wymiany implantów, dane kliniczne i dane dotyczące stosowanych implantów. Rejestr gromadzi informacje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br/>
              <w:t>o operacjach stawów kolanowego i biodrowego.</w:t>
            </w:r>
          </w:p>
        </w:tc>
      </w:tr>
      <w:tr w:rsidR="00D71DA0" w:rsidRPr="00D71DA0" w14:paraId="7CAB2CF0" w14:textId="77777777" w:rsidTr="000F50C3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7BC982C8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Podmioty, na które oddziałuje projekt</w:t>
            </w:r>
          </w:p>
        </w:tc>
      </w:tr>
      <w:tr w:rsidR="00D71DA0" w:rsidRPr="00D71DA0" w14:paraId="1A794546" w14:textId="77777777" w:rsidTr="000F50C3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4DE7DDCF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Grupa</w:t>
            </w:r>
          </w:p>
        </w:tc>
        <w:tc>
          <w:tcPr>
            <w:tcW w:w="2292" w:type="dxa"/>
            <w:gridSpan w:val="8"/>
          </w:tcPr>
          <w:p w14:paraId="53353A52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Wielkość</w:t>
            </w:r>
          </w:p>
        </w:tc>
        <w:tc>
          <w:tcPr>
            <w:tcW w:w="2996" w:type="dxa"/>
            <w:gridSpan w:val="12"/>
          </w:tcPr>
          <w:p w14:paraId="3C0B39C0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Źródło danych</w:t>
            </w:r>
            <w:r w:rsidRPr="00D71DA0" w:rsidDel="00260F33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15B34C0D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Oddziaływanie</w:t>
            </w:r>
          </w:p>
        </w:tc>
      </w:tr>
      <w:tr w:rsidR="00D71DA0" w:rsidRPr="00D71DA0" w14:paraId="76466961" w14:textId="77777777" w:rsidTr="000F50C3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39634AE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pacjenci</w:t>
            </w:r>
          </w:p>
        </w:tc>
        <w:tc>
          <w:tcPr>
            <w:tcW w:w="2292" w:type="dxa"/>
            <w:gridSpan w:val="8"/>
          </w:tcPr>
          <w:p w14:paraId="313D236F" w14:textId="0F87A22C" w:rsidR="00D71DA0" w:rsidRPr="00D71DA0" w:rsidRDefault="00145545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145545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117338</w:t>
            </w:r>
            <w:r w:rsidR="00874E9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przeprowadzonych </w:t>
            </w:r>
            <w:r w:rsidR="00D71DA0"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endoprotezoplastyk (dane z 202</w:t>
            </w: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4</w:t>
            </w:r>
            <w:r w:rsidR="00D71DA0"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 r.) </w:t>
            </w:r>
          </w:p>
        </w:tc>
        <w:tc>
          <w:tcPr>
            <w:tcW w:w="2996" w:type="dxa"/>
            <w:gridSpan w:val="12"/>
          </w:tcPr>
          <w:p w14:paraId="1012F187" w14:textId="77777777" w:rsidR="00D71DA0" w:rsidRDefault="00145545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arodowy Fundusz Zdrowia </w:t>
            </w:r>
          </w:p>
          <w:p w14:paraId="118536EA" w14:textId="3F320C39" w:rsidR="004B6FD8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(NFZ) </w:t>
            </w:r>
          </w:p>
        </w:tc>
        <w:tc>
          <w:tcPr>
            <w:tcW w:w="2981" w:type="dxa"/>
            <w:gridSpan w:val="6"/>
          </w:tcPr>
          <w:p w14:paraId="3E985D77" w14:textId="7BDF377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przez uzyskanie danych o jakości oraz skuteczności stosowanych technologii medycznych i w następstwie dzięki eliminowaniu najgorszych rozwiązań i promowaniu lepszych zostanie podniesiona jakość endoprotezoplastyki</w:t>
            </w:r>
          </w:p>
        </w:tc>
      </w:tr>
      <w:tr w:rsidR="00D71DA0" w:rsidRPr="00D71DA0" w14:paraId="04FED258" w14:textId="77777777" w:rsidTr="000F50C3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0645B59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podmioty zobowiązane do przekazywania danych</w:t>
            </w:r>
          </w:p>
        </w:tc>
        <w:tc>
          <w:tcPr>
            <w:tcW w:w="2292" w:type="dxa"/>
            <w:gridSpan w:val="8"/>
          </w:tcPr>
          <w:p w14:paraId="3B530A9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Co najmniej 300</w:t>
            </w:r>
          </w:p>
        </w:tc>
        <w:tc>
          <w:tcPr>
            <w:tcW w:w="2996" w:type="dxa"/>
            <w:gridSpan w:val="12"/>
          </w:tcPr>
          <w:p w14:paraId="7BC9FBF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NFZ</w:t>
            </w:r>
          </w:p>
        </w:tc>
        <w:tc>
          <w:tcPr>
            <w:tcW w:w="2981" w:type="dxa"/>
            <w:gridSpan w:val="6"/>
          </w:tcPr>
          <w:p w14:paraId="0ED382DB" w14:textId="0526D70A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podmioty będą musiały przekazywać informacje.</w:t>
            </w:r>
          </w:p>
          <w:p w14:paraId="634FBC7C" w14:textId="3E145839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Możliwa stymulacja konkurencji między ośrodkami zajmującymi się leczeniem</w:t>
            </w:r>
          </w:p>
        </w:tc>
      </w:tr>
      <w:tr w:rsidR="00D71DA0" w:rsidRPr="00D71DA0" w14:paraId="3CBF7AE0" w14:textId="77777777" w:rsidTr="000F50C3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3ED81FA8" w14:textId="0F6595A6" w:rsidR="00D71DA0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administracja finansowa związana z ochroną zdrowia – Ministerstwo Zdrowia, NFZ, Agencja Oceny Technologii Medycznych i Taryfikacji (AOTMiT), Centrum Monitorowania Jakości w Ochronie Zdrowia, świadczeniodawcy wykonujące świadczenia endoprotezoplastyki</w:t>
            </w:r>
          </w:p>
        </w:tc>
        <w:tc>
          <w:tcPr>
            <w:tcW w:w="2292" w:type="dxa"/>
            <w:gridSpan w:val="8"/>
          </w:tcPr>
          <w:p w14:paraId="044357E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około 318</w:t>
            </w:r>
          </w:p>
        </w:tc>
        <w:tc>
          <w:tcPr>
            <w:tcW w:w="2996" w:type="dxa"/>
            <w:gridSpan w:val="12"/>
          </w:tcPr>
          <w:p w14:paraId="268F498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NFZ</w:t>
            </w:r>
          </w:p>
        </w:tc>
        <w:tc>
          <w:tcPr>
            <w:tcW w:w="2981" w:type="dxa"/>
            <w:gridSpan w:val="6"/>
          </w:tcPr>
          <w:p w14:paraId="6203898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lepsze zarządzanie publicznymi funduszami, biorące pod uwagę jakość oraz skuteczność stosowanych technologii medycznych</w:t>
            </w:r>
          </w:p>
        </w:tc>
      </w:tr>
      <w:tr w:rsidR="00D71DA0" w:rsidRPr="00D71DA0" w14:paraId="712BFBF5" w14:textId="77777777" w:rsidTr="000F50C3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18D9A8C3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Informacje na temat zakresu, czasu trwania i podsumowanie wyników konsultacji</w:t>
            </w:r>
          </w:p>
        </w:tc>
      </w:tr>
      <w:tr w:rsidR="00D71DA0" w:rsidRPr="00D71DA0" w14:paraId="67AD74AD" w14:textId="77777777" w:rsidTr="000F50C3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0BE95B63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  <w:t>Projekt nie był przedmiotem pre-konsultacji.</w:t>
            </w:r>
          </w:p>
          <w:p w14:paraId="1263A901" w14:textId="019639AE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Projekt rozporządzenia zosta</w:t>
            </w:r>
            <w:r w:rsidR="00AD5FD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ł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skierowany w ramach konsultacji publicznych i opiniowania, z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21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-dniowym terminem na zgłaszanie uwag, do:</w:t>
            </w:r>
          </w:p>
          <w:p w14:paraId="14573C2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Naczelnej Rady Lekarskiej;</w:t>
            </w:r>
          </w:p>
          <w:p w14:paraId="71AB146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Naczelnej Rady Pielęgniarek i Położnych;</w:t>
            </w:r>
          </w:p>
          <w:p w14:paraId="6483234D" w14:textId="77777777" w:rsidR="00AD5FD2" w:rsidRPr="00D71DA0" w:rsidRDefault="00AD5FD2" w:rsidP="00AD5FD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Naczelnej Rady Aptekarskiej;</w:t>
            </w:r>
          </w:p>
          <w:p w14:paraId="4B3BBA9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Krajowej Rady Diagnostów Laboratoryjnych;</w:t>
            </w:r>
          </w:p>
          <w:p w14:paraId="4D73269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Krajowej Rady Fizjoterapeutów;</w:t>
            </w:r>
          </w:p>
          <w:p w14:paraId="559BB3D0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Krajowej Rady Rato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ników Medycznych;</w:t>
            </w:r>
          </w:p>
          <w:p w14:paraId="397B25E2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Związku Zawodowego Lekarzy;</w:t>
            </w:r>
          </w:p>
          <w:p w14:paraId="4469342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lastRenderedPageBreak/>
              <w:t>Ogólnopolskiego Związku Zawodowego Pielęgniarek i Położnych;</w:t>
            </w:r>
          </w:p>
          <w:p w14:paraId="1303A3D4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Ogólnopolskiego Związku Zawodowego Położnych; </w:t>
            </w:r>
          </w:p>
          <w:p w14:paraId="0DB0AAB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Kolegium Pielęgniarek i Położnych Rodzinnych w Polsce; </w:t>
            </w:r>
          </w:p>
          <w:p w14:paraId="4D914EB9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Kolegium Lekarzy Rodzinnych;</w:t>
            </w:r>
          </w:p>
          <w:p w14:paraId="5A85E3CD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Stowarzyszenia Szpitali Prywatnych;</w:t>
            </w:r>
          </w:p>
          <w:p w14:paraId="5D810C1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Stowarzyszenia Dyrektorów Szpitali Klinicznych;</w:t>
            </w:r>
          </w:p>
          <w:p w14:paraId="3AB96EF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Stowarzyszenia Menadżerów Opieki Zdrowotnej STOMOZ;</w:t>
            </w:r>
          </w:p>
          <w:p w14:paraId="76E23AA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Zrzeszenia Szpitali Akredytowanych;</w:t>
            </w:r>
          </w:p>
          <w:p w14:paraId="5FF081AA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Izby Lecznictwa Polskiego;</w:t>
            </w:r>
          </w:p>
          <w:p w14:paraId="28AB39BD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Polskiej Unii Szpitali Klinicznych;</w:t>
            </w:r>
          </w:p>
          <w:p w14:paraId="4BD2DF7A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Polskiej Federacji Pracodawców Ochrony Zdrowia;</w:t>
            </w:r>
          </w:p>
          <w:p w14:paraId="73D420A9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Forum Związków Zawodowych;</w:t>
            </w:r>
          </w:p>
          <w:p w14:paraId="2BF5EF54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Federacji Związków Zawodowych Pracowników Ochrony Zdrowia;</w:t>
            </w:r>
          </w:p>
          <w:p w14:paraId="14EB2DC7" w14:textId="2E35804E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NSZZ „Solidarność - 80</w:t>
            </w:r>
            <w:r w:rsidR="0074549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”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; </w:t>
            </w:r>
          </w:p>
          <w:p w14:paraId="4A697D22" w14:textId="77777777" w:rsidR="00AD5FD2" w:rsidRPr="00D71DA0" w:rsidRDefault="00AD5FD2" w:rsidP="00AD5FD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NSZZ „Solidarność”;</w:t>
            </w:r>
          </w:p>
          <w:p w14:paraId="1D47F0FB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Ogólnopolskiej Konfederacji Związków Zawodowych Pracowników Ochrony Zdrowia;</w:t>
            </w:r>
          </w:p>
          <w:p w14:paraId="6BF47DCF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Porozumienia Związków Zawodowych;</w:t>
            </w:r>
          </w:p>
          <w:p w14:paraId="086D9EB9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Federacji Związków Pracodawców Ochrony Zdrowia „Porozumienie Zielonogórskie”; </w:t>
            </w:r>
          </w:p>
          <w:p w14:paraId="706EDF31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Federacji Przedsiębiorców Polskich;</w:t>
            </w:r>
          </w:p>
          <w:p w14:paraId="68755FA6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Ogólnopolskiego Związku Pracodawców Samodzielnych Publicznych Szpitali Klinicznych; </w:t>
            </w:r>
          </w:p>
          <w:p w14:paraId="79E33F1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Stowarzyszenia Szpitali Prywatnych;</w:t>
            </w:r>
          </w:p>
          <w:p w14:paraId="1DF842C1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Związku Rzemiosła Polskiego;</w:t>
            </w:r>
          </w:p>
          <w:p w14:paraId="5825A11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Konfederacji „Lewiatan”; </w:t>
            </w:r>
          </w:p>
          <w:p w14:paraId="36A17A98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Związku Pracodawców Business Centre Club; </w:t>
            </w:r>
          </w:p>
          <w:p w14:paraId="6BE8FC7F" w14:textId="77777777" w:rsidR="004B6FD8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Związku Przedsiębiorców i Pracodawców; </w:t>
            </w:r>
          </w:p>
          <w:p w14:paraId="642B87D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Polskiego Towarzystwa Gospodarczego;</w:t>
            </w:r>
          </w:p>
          <w:p w14:paraId="750694DF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Polskiej Federacji Pracodawców Ochrony Zdrowia;</w:t>
            </w:r>
          </w:p>
          <w:p w14:paraId="188A2C72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Rady Organizacji Pacjentów przy ministrze właściwym do spraw zdrowia; </w:t>
            </w:r>
          </w:p>
          <w:p w14:paraId="07D7C79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Konferencji Rektorów Akademickich Uczelni Medycznych;</w:t>
            </w:r>
          </w:p>
          <w:p w14:paraId="7C10ABD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Instytutu Praw Pacjenta i Edukacji Zdrowotnej;</w:t>
            </w:r>
          </w:p>
          <w:p w14:paraId="269D5BF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Polskiego Towarzystwa Prawa Medycznego;</w:t>
            </w:r>
          </w:p>
          <w:p w14:paraId="7DDD7B6D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Pracodawców Rzeczypospolitej Polskiej;</w:t>
            </w:r>
          </w:p>
          <w:p w14:paraId="34D4F1F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Komisji Wspólnej Rządu i Samorządu Terytorialnego;</w:t>
            </w:r>
          </w:p>
          <w:p w14:paraId="68547E9A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Rady Dialogu Społecznego;</w:t>
            </w:r>
          </w:p>
          <w:p w14:paraId="0C89D84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Prezesa Urzędu Ochrony Konkurencji i Konsumentów;</w:t>
            </w:r>
          </w:p>
          <w:p w14:paraId="1F3AD8B6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Prezesa Urzędu Ochrony Danych Osobowych;</w:t>
            </w:r>
          </w:p>
          <w:p w14:paraId="2F988B72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Prezesa Narodowego Funduszu Zdrowia;</w:t>
            </w:r>
          </w:p>
          <w:p w14:paraId="0A2A594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Agencji Oceny Technologii Medycznych i Taryfikacji;</w:t>
            </w:r>
          </w:p>
          <w:p w14:paraId="15AFA980" w14:textId="77777777" w:rsidR="004B6FD8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Rzecznika Praw Pacjenta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63F1662F" w14:textId="0EE3AF81" w:rsidR="00F55523" w:rsidRPr="00D71DA0" w:rsidRDefault="00F55523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Rzecznika Małych i Średnich Przedsiębiorców;</w:t>
            </w:r>
          </w:p>
          <w:p w14:paraId="0F06498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Konsultantów krajowych w wybranych dziedzinach medycyny:</w:t>
            </w:r>
          </w:p>
          <w:p w14:paraId="7F3F7217" w14:textId="0D152E19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A4764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a) </w:t>
            </w:r>
            <w:r w:rsidR="004B6FD8" w:rsidRPr="00DC0D3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>d</w:t>
            </w:r>
            <w:r w:rsidRPr="00DC0D3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>r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>.</w:t>
            </w:r>
            <w:r w:rsidR="004B6FD8" w:rsidRPr="00DC0D3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 hab. n. med.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Jarosława Czubaka –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ortopedi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 traumatolo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gia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narządu ruchu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</w:p>
          <w:p w14:paraId="4008E972" w14:textId="3AA3B66A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 b)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dr.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hab. Jerzego Sieńko </w:t>
            </w:r>
            <w:r w:rsidR="00080895" w:rsidRPr="0008089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–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chirurgia ogólna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</w:p>
          <w:p w14:paraId="30F09574" w14:textId="3599E54A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 </w:t>
            </w:r>
            <w:r w:rsidRPr="00A4764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c) </w:t>
            </w:r>
            <w:r w:rsidR="004B6FD8" w:rsidRPr="00A4764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Prof. dr hab. n. med.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Wojciecha Zegarskiego –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chirurgia onkologiczna;</w:t>
            </w:r>
          </w:p>
          <w:p w14:paraId="18A25138" w14:textId="0B6415CB" w:rsidR="004B6FD8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9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onsultant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krajow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w wybranych dziedzinach mających zastosowanie w ochronie zdrowia (inżyniera medyczna)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:</w:t>
            </w:r>
          </w:p>
          <w:p w14:paraId="26128F29" w14:textId="7D0203D8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Prof. </w:t>
            </w:r>
            <w:r w:rsidR="00EE390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dr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hab. inż. Ewy Zalewskiej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;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310AEC1D" w14:textId="515A7FDC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50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Polskie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Stowarzyszeni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Dyrektorów Szpitali;</w:t>
            </w:r>
          </w:p>
          <w:p w14:paraId="0B10F4AC" w14:textId="17E807A5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1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Pracodawcy Medycyny Prywatnej;</w:t>
            </w:r>
          </w:p>
          <w:p w14:paraId="24871FAF" w14:textId="3B7A0DEC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Ogólnopolski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Związ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ku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Pracodawców Szpitali Powiatowych;</w:t>
            </w:r>
          </w:p>
          <w:p w14:paraId="6ED75510" w14:textId="5474ED6D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3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Ogólnopolski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Związ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ku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Pracodawców Podmiotów Leczniczych;</w:t>
            </w:r>
          </w:p>
          <w:p w14:paraId="55E73482" w14:textId="24C54E82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4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Porozumieni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Pracodawców Ochrony Zdrowia;</w:t>
            </w:r>
          </w:p>
          <w:p w14:paraId="21D63612" w14:textId="406197E2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Polsk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iej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Federacj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i 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Szpitali;</w:t>
            </w:r>
          </w:p>
          <w:p w14:paraId="31E51806" w14:textId="7B0C9DF4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Federacj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Pacjentów Polskich;</w:t>
            </w:r>
          </w:p>
          <w:p w14:paraId="3CD75C98" w14:textId="2E148637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7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Fundacj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My Pacjenci;</w:t>
            </w:r>
          </w:p>
          <w:p w14:paraId="2D0818D3" w14:textId="646DA719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8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Wojskow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Instytut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u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Medyczn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2AAD15D2" w14:textId="5DB04FFC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9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</w:t>
            </w:r>
            <w:r w:rsidR="00AA367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Urzędu Rejestracji Produktów Leczniczych, Wyrobów Medycznych i Produktów Biobójczych</w:t>
            </w:r>
            <w:r w:rsidR="00AA367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4D2AD17C" w14:textId="4FF95196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60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</w:t>
            </w:r>
            <w:r w:rsidR="00AA367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Konferencj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Rektorów Akademickich Uczelni Medycznych;</w:t>
            </w:r>
          </w:p>
          <w:p w14:paraId="7EB364B9" w14:textId="2ABBB592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1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Główn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Inspektor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Farmaceutyczn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432C15E0" w14:textId="7E315FDA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Główn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Inspektor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Sanitarn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.</w:t>
            </w:r>
          </w:p>
          <w:p w14:paraId="165AF7FA" w14:textId="36D5F073" w:rsidR="002403A4" w:rsidRDefault="002403A4" w:rsidP="004F6E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</w:p>
          <w:p w14:paraId="472032D0" w14:textId="58F4955F" w:rsidR="004D6548" w:rsidRDefault="004D6548" w:rsidP="004F6E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lastRenderedPageBreak/>
              <w:t xml:space="preserve">Skrócenie terminu konsultacji publicznych i opiniowania jest uzasadnione deregulacyjnym charakterem projektowanych przepisów oraz </w:t>
            </w:r>
            <w:r w:rsidR="002403A4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korzyściami wynikającymi z wprowadzenia rozwiązań objętych projektem rozporządzenia. </w:t>
            </w:r>
          </w:p>
          <w:p w14:paraId="3121EB8F" w14:textId="40599119" w:rsidR="004F6E49" w:rsidRPr="004F6E49" w:rsidRDefault="004F6E49" w:rsidP="004F6E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F6E49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Projektowane rozporządzenie nie będzie przedmiotem opiniowania Komisji Wspólnej Rządu i Samorządu Terytorialnego, ponieważ nie dotyczy problematyki samorządu terytorialnego.</w:t>
            </w:r>
          </w:p>
          <w:p w14:paraId="28F3501C" w14:textId="473728C7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Zgodnie z art. 5 ustawy z dnia 7 lipca 2005 r. o działalności lobbingowej w procesie stanowienia prawa (Dz. U. z 2025 r. poz. 677) projekt rozporządzenia 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zosta</w:t>
            </w:r>
            <w:r w:rsidR="0074549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ł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zamieszczony w Biuletynie Informacji Publicznej na stronie podmiotowej Ministerstwa Zdrowia.</w:t>
            </w:r>
          </w:p>
          <w:p w14:paraId="195508E8" w14:textId="6A0AF22F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Projekt rozporządzenia 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zosta</w:t>
            </w:r>
            <w:r w:rsidR="0074549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ł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również udostępniony w Biuletynie Informacji Publicznej na stronie podmiotowej Rządowego Centrum Legislacji, w serwisie Rządowy Proces Legislacyjny, zgodnie z § 52 ust. 1 uchwały nr 190 Rady Ministrów z dnia 29 października 2013 r. – Regulamin pracy Rady Ministrów (M.</w:t>
            </w:r>
            <w:r w:rsidR="00F506C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P. z 2024 r. poz. 806</w:t>
            </w:r>
            <w:r w:rsidR="00C63B7A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 z późn. zm.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).</w:t>
            </w:r>
          </w:p>
          <w:p w14:paraId="1E92254B" w14:textId="4BF259EB" w:rsidR="00D71DA0" w:rsidRPr="00D71DA0" w:rsidRDefault="004B6FD8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Wyniki konsultacji publicznych i opiniowania zostaną przedstawione w raporcie z konsultacji publicznych i opiniowania, który zostanie załączony do OSR.</w:t>
            </w:r>
          </w:p>
        </w:tc>
      </w:tr>
      <w:tr w:rsidR="00D71DA0" w:rsidRPr="00D71DA0" w14:paraId="3FB98277" w14:textId="77777777" w:rsidTr="000F50C3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462072A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 xml:space="preserve"> Wpływ na sektor finansów publicznych</w:t>
            </w:r>
          </w:p>
        </w:tc>
      </w:tr>
      <w:tr w:rsidR="00D71DA0" w:rsidRPr="00D71DA0" w14:paraId="1E71689B" w14:textId="77777777" w:rsidTr="000F50C3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4ACEEF83" w14:textId="77777777" w:rsidR="00D71DA0" w:rsidRPr="00D71DA0" w:rsidRDefault="00D71DA0" w:rsidP="00D71DA0">
            <w:pPr>
              <w:spacing w:before="40" w:after="40" w:line="276" w:lineRule="auto"/>
              <w:rPr>
                <w:rFonts w:ascii="Times New Roman" w:eastAsia="Calibri" w:hAnsi="Times New Roman" w:cs="Times New Roman"/>
                <w:i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(ceny stałe z 2025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7FC75E16" w14:textId="77777777" w:rsidR="00D71DA0" w:rsidRPr="00D71DA0" w:rsidRDefault="00D71DA0" w:rsidP="00D71DA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Skutki w okresie 10 lat od wejścia w życie zmian [mln zł]</w:t>
            </w:r>
          </w:p>
        </w:tc>
      </w:tr>
      <w:tr w:rsidR="00D71DA0" w:rsidRPr="00D71DA0" w14:paraId="5373CDA2" w14:textId="77777777" w:rsidTr="000F50C3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7FC6CA76" w14:textId="77777777" w:rsidR="00D71DA0" w:rsidRPr="00D71DA0" w:rsidRDefault="00D71DA0" w:rsidP="00D71DA0">
            <w:pPr>
              <w:spacing w:before="40" w:after="40" w:line="240" w:lineRule="auto"/>
              <w:rPr>
                <w:rFonts w:ascii="Times New Roman" w:eastAsia="Calibri" w:hAnsi="Times New Roman" w:cs="Times New Roman"/>
                <w:i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08520E00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EEFD6AA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20B083B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C479C6B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2489EAC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6FBF23D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A89127C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796F07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494FC9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2AC3A5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3447595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303A9BB2" w14:textId="77777777" w:rsidR="00D71DA0" w:rsidRPr="00D71DA0" w:rsidRDefault="00D71DA0" w:rsidP="00D71DA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Łącznie (0-10)</w:t>
            </w:r>
          </w:p>
        </w:tc>
      </w:tr>
      <w:tr w:rsidR="00D71DA0" w:rsidRPr="00D71DA0" w14:paraId="066E6D65" w14:textId="77777777" w:rsidTr="000F50C3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CA4B51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1"/>
                <w:szCs w:val="21"/>
                <w14:ligatures w14:val="none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5C4FDA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14349D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D742E5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D22C82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A644B8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14B1E34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768792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DFC91A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D6C8E4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89A449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5146C4D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2FAB13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40AB9523" w14:textId="77777777" w:rsidTr="000F50C3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567754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D0C4B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BC07FA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2EEB02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9E839E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D034C0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0288C75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453445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972B11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00112F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440F2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6AAAE77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397E631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C8A3104" w14:textId="77777777" w:rsidTr="000F50C3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18533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E0C591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AC3D48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5BDFA5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439C2A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6EC915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4C8FFA2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4A7BFA8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1465FB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3D2A71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3607B9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3771203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09EE0D8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182E66E" w14:textId="77777777" w:rsidTr="000F50C3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C871DA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68A4AA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25F4D4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D24576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6394C7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F36CFB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74CC581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E5BEFF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812154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C6F4E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3ADE68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0172CEF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C7AE3D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6866AE3E" w14:textId="77777777" w:rsidTr="000F50C3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5CEC19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7E5CC2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5D6FA4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34B0E3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16C365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F6D2E1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1A8F53E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792631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5F1311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0F52C3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AE83F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1A0A4F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18935D1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2E3E313" w14:textId="77777777" w:rsidTr="000F50C3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637628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1"/>
                <w:szCs w:val="21"/>
                <w14:ligatures w14:val="none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5CBC55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0,5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55F3EF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1FFCD8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D7C32D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B765E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0,4  </w:t>
            </w:r>
          </w:p>
        </w:tc>
        <w:tc>
          <w:tcPr>
            <w:tcW w:w="570" w:type="dxa"/>
            <w:shd w:val="clear" w:color="auto" w:fill="FFFFFF"/>
          </w:tcPr>
          <w:p w14:paraId="76CD3C2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0,4  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A89EAA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7FBE8F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249BC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578F18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70" w:type="dxa"/>
            <w:shd w:val="clear" w:color="auto" w:fill="FFFFFF"/>
          </w:tcPr>
          <w:p w14:paraId="3BD729A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865C28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4,50</w:t>
            </w:r>
          </w:p>
        </w:tc>
      </w:tr>
      <w:tr w:rsidR="00D71DA0" w:rsidRPr="00D71DA0" w14:paraId="145A9402" w14:textId="77777777" w:rsidTr="000F50C3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B8B0E5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0B11F0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6004C2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4762A4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440521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299F89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67E2E0E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5DB815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0FD117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94B51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EF2F9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0A61845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A1FE32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FB8345F" w14:textId="77777777" w:rsidTr="000F50C3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1ECCAB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429E55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64EFA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EE3D22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501042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308D63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650E962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7BA258E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E38E1B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7372C6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AB025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029663D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E80D6A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6E2E6E47" w14:textId="77777777" w:rsidTr="000F50C3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8BDC74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391B89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0,5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862761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459C51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2EA268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BD4942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70" w:type="dxa"/>
            <w:shd w:val="clear" w:color="auto" w:fill="FFFFFF"/>
          </w:tcPr>
          <w:p w14:paraId="6543B1B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104CF3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08EF4E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756467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3DA296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570" w:type="dxa"/>
            <w:shd w:val="clear" w:color="auto" w:fill="FFFFFF"/>
          </w:tcPr>
          <w:p w14:paraId="137457E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0,4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15BEA0A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4,50</w:t>
            </w:r>
          </w:p>
        </w:tc>
      </w:tr>
      <w:tr w:rsidR="00D71DA0" w:rsidRPr="00D71DA0" w14:paraId="328ED465" w14:textId="77777777" w:rsidTr="000F50C3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649825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D19464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DA8E38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32CDF6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B83187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F4F0B0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2666543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3EBACCC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F4ECA9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CBF6DC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6E26FF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77EE0AF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022723A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2F996684" w14:textId="77777777" w:rsidTr="000F50C3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C76F8A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1"/>
                <w:szCs w:val="21"/>
                <w14:ligatures w14:val="none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B2E77A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-0,5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0B1696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126957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0412E2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F9571C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shd w:val="clear" w:color="auto" w:fill="FFFFFF"/>
          </w:tcPr>
          <w:p w14:paraId="233ABB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F3EDAB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958F2B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647A0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AB0C3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shd w:val="clear" w:color="auto" w:fill="FFFFFF"/>
          </w:tcPr>
          <w:p w14:paraId="36000BD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AD2447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-4,50</w:t>
            </w:r>
          </w:p>
        </w:tc>
      </w:tr>
      <w:tr w:rsidR="00D71DA0" w:rsidRPr="00D71DA0" w14:paraId="33A422B7" w14:textId="77777777" w:rsidTr="000F50C3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AFEB5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87CA6F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11EA44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F9121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DB9EA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060DC1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7EE8EE6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490F6D5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6FE18C5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AD3117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E5122D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19B2AFE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77131F4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26ED8957" w14:textId="77777777" w:rsidTr="000F50C3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AD48F3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787D8F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19AA83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532FEF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06C5F8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8990DC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32B1693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B1D1DE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711A52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AF9886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1F2E34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3E072C4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3439C2A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5406CFD5" w14:textId="77777777" w:rsidTr="000F50C3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1BA8E1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CE91C9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-0,5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5FB5ED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73657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108082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C2E9BE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shd w:val="clear" w:color="auto" w:fill="FFFFFF"/>
          </w:tcPr>
          <w:p w14:paraId="132013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08FB99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4D063B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98E0A9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9393C0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570" w:type="dxa"/>
            <w:shd w:val="clear" w:color="auto" w:fill="FFFFFF"/>
          </w:tcPr>
          <w:p w14:paraId="43C0344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-0,4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FA264EE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-4,50</w:t>
            </w:r>
          </w:p>
        </w:tc>
      </w:tr>
      <w:tr w:rsidR="00D71DA0" w:rsidRPr="00D71DA0" w14:paraId="38CA11EB" w14:textId="77777777" w:rsidTr="000F50C3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46002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2437CB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213363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612CFD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ABD37D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814E66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34D73A4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3FE3BF9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F39B8C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471A71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241B8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/>
          </w:tcPr>
          <w:p w14:paraId="5F412C1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2462A1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7A9CC6D0" w14:textId="77777777" w:rsidTr="000F50C3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3B1E427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12E947EC" w14:textId="77777777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1A78D70B" w14:textId="77777777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  <w:p w14:paraId="28DE7E37" w14:textId="77777777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1F84184C" w14:textId="77777777" w:rsidTr="000F50C3">
        <w:trPr>
          <w:gridAfter w:val="1"/>
          <w:wAfter w:w="10" w:type="dxa"/>
          <w:trHeight w:val="1195"/>
        </w:trPr>
        <w:tc>
          <w:tcPr>
            <w:tcW w:w="2243" w:type="dxa"/>
            <w:gridSpan w:val="2"/>
            <w:shd w:val="clear" w:color="auto" w:fill="FFFFFF"/>
          </w:tcPr>
          <w:p w14:paraId="6B841AA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66EE1FAA" w14:textId="77777777" w:rsidR="008D2D44" w:rsidRPr="008D2D44" w:rsidRDefault="008D2D44" w:rsidP="008D2D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8D2D44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Z uwagi na nieprzerwane funkcjonowanie rejestru endoprotezoplastyk od 2019 r. jest on na bieżąco finansowany ze środków przewidzianych w planie finansowym NFZ, w ramach kosztów administracyjnych. </w:t>
            </w:r>
          </w:p>
          <w:p w14:paraId="5841BD42" w14:textId="4AE24329" w:rsidR="008D2D44" w:rsidRPr="008D2D44" w:rsidRDefault="008D2D44" w:rsidP="008D2D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8D2D44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Natomiast w ramach kosztów utrzymania przewidywane koszty osobowe wynoszą ok. 132 tys. zł rocznie. Koszty dostosowania systemu do zmian wynikających z projektowanego rozporządzenia wyniosą w pierwszym roku ok. 400 tys. zł. W kolejnych latach przewidywane koszty utrzymania, usprawnienia systemu i koszty ewentualnie zgłaszanych dostosowań będą wynosiły średnio ok. ponad 250 000 zł rocznie. </w:t>
            </w:r>
          </w:p>
          <w:p w14:paraId="4928063C" w14:textId="2B705AAC" w:rsidR="00D71DA0" w:rsidRPr="00D71DA0" w:rsidRDefault="008D2D44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8D2D44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Projektowane rozporządzenie nie spowoduje dodatkowych skutków finansowych dla budżetu państwa, jednostek samorządu terytorialnego oraz innych jednostek sektora finansów publicznych.</w:t>
            </w:r>
          </w:p>
        </w:tc>
      </w:tr>
      <w:tr w:rsidR="00D71DA0" w:rsidRPr="00D71DA0" w14:paraId="32C04FA1" w14:textId="77777777" w:rsidTr="000F50C3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29A4CFB0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Wpływ na </w:t>
            </w: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D71DA0" w:rsidRPr="00D71DA0" w14:paraId="39B2F8A7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16BBB24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Skutki</w:t>
            </w:r>
          </w:p>
        </w:tc>
      </w:tr>
      <w:tr w:rsidR="00D71DA0" w:rsidRPr="00D71DA0" w14:paraId="664110B1" w14:textId="77777777" w:rsidTr="000F50C3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21F9F49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D29EBA0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1C4122A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9DA5B9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18F8BFA5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9DCE63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A78E4E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1AF28E1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Łącznie</w:t>
            </w:r>
            <w:r w:rsidRPr="00D71DA0" w:rsidDel="0073273A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(0-10)</w:t>
            </w:r>
          </w:p>
        </w:tc>
      </w:tr>
      <w:tr w:rsidR="00D71DA0" w:rsidRPr="00D71DA0" w14:paraId="3A5F64C5" w14:textId="77777777" w:rsidTr="000F50C3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92A536E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W ujęciu pieniężnym</w:t>
            </w:r>
          </w:p>
          <w:p w14:paraId="17CF89D7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 xml:space="preserve">(w mln zł, </w:t>
            </w:r>
          </w:p>
          <w:p w14:paraId="0FE7BFA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48AFDBC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D9056E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45620F44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DF0848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6F18632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5A035D8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E3E6A5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7B81B73C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-</w:t>
            </w:r>
          </w:p>
        </w:tc>
      </w:tr>
      <w:tr w:rsidR="00D71DA0" w:rsidRPr="00D71DA0" w14:paraId="115AD8A8" w14:textId="77777777" w:rsidTr="000F50C3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8A9A9A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FDEBF4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F5C6BB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579E4245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D6140A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46F9727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AA8795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C432CE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181FA71E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-</w:t>
            </w:r>
          </w:p>
        </w:tc>
      </w:tr>
      <w:tr w:rsidR="00D71DA0" w:rsidRPr="00D71DA0" w14:paraId="217EEFDA" w14:textId="77777777" w:rsidTr="000F50C3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653665B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2E82E2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rodzina, 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03ED1B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14FFA9E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F25CFA5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589BC6C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B25B85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11D47E8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7B5C5D94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-</w:t>
            </w:r>
          </w:p>
        </w:tc>
      </w:tr>
      <w:tr w:rsidR="00D71DA0" w:rsidRPr="00D71DA0" w14:paraId="33A9CB1D" w14:textId="77777777" w:rsidTr="000F50C3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1DC4460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W ujęciu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0DC041FC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23B00B2F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Możliwe wystąpienie efektu wzrostu konkurencji miedzy podmiotami wykonującymi świadczenia medyczne i dostawcami technologii medycznych oraz wzrostu ich konkurencyjności.</w:t>
            </w:r>
          </w:p>
        </w:tc>
      </w:tr>
      <w:tr w:rsidR="00D71DA0" w:rsidRPr="00D71DA0" w14:paraId="79040F99" w14:textId="77777777" w:rsidTr="000F50C3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13E1E47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C0757CA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20BFCC0F" w14:textId="77B0134E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Przedmiotowy projekt może mieć wpływ na działalność mikroprzedsiębiorców, małych i średnich przedsiębiorców przez dostarczenie danych o jakości </w:t>
            </w:r>
            <w:r w:rsidR="00F55523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br/>
            </w:r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i efektywności wykonywanych przez nich procedur. Informacja ta może wpłynąć na poprawę jakości realizowanych przez nich świadczeń opieki zdrowotnej.</w:t>
            </w:r>
          </w:p>
        </w:tc>
      </w:tr>
      <w:tr w:rsidR="00D71DA0" w:rsidRPr="00D71DA0" w14:paraId="44B3D58C" w14:textId="77777777" w:rsidTr="000F50C3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2BD74A9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D55F70B" w14:textId="77777777" w:rsidR="00D71DA0" w:rsidRPr="00783D8E" w:rsidRDefault="00D71DA0" w:rsidP="00D71DA0">
            <w:pPr>
              <w:tabs>
                <w:tab w:val="right" w:pos="193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rodzina, obywatele oraz gospodarstwa domowe</w:t>
            </w: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65F35FEC" w14:textId="5B8EA8FF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Poprawa jakości świadczonych usług endoprotezoplastyki</w:t>
            </w:r>
            <w:r w:rsidR="00022BD5"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skutkująca: polepszeniem jakości życia pacjentów poddanych endoprotezoplastyce, zmniejszeniem powikłań i potrzeb ponownych interwencji, a zatem zmniejszeniem ewentualnych absencji w pracy, utrzymaniem aktywności części emerytów, zmniejszeniem liczby rencistów.</w:t>
            </w:r>
            <w:r w:rsidR="00022BD5"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Utrzymanie aktywności operowanych pacjentów na rynku pracy jest szansą na utrzymanie dochodów ich rodzin i konsumpcji na poziomie sprzed operacji.</w:t>
            </w:r>
          </w:p>
        </w:tc>
      </w:tr>
      <w:tr w:rsidR="00D71DA0" w:rsidRPr="00D71DA0" w14:paraId="3D2FA28C" w14:textId="77777777" w:rsidTr="000F50C3">
        <w:trPr>
          <w:gridAfter w:val="1"/>
          <w:wAfter w:w="10" w:type="dxa"/>
          <w:trHeight w:val="240"/>
        </w:trPr>
        <w:tc>
          <w:tcPr>
            <w:tcW w:w="1596" w:type="dxa"/>
            <w:vMerge/>
            <w:shd w:val="clear" w:color="auto" w:fill="FFFFFF"/>
          </w:tcPr>
          <w:p w14:paraId="42143C8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D6279EF" w14:textId="77777777" w:rsidR="00D71DA0" w:rsidRPr="00783D8E" w:rsidRDefault="00D71DA0" w:rsidP="00D71DA0">
            <w:pPr>
              <w:tabs>
                <w:tab w:val="right" w:pos="1936"/>
              </w:tabs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osoby starsze,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65EC8177" w14:textId="58FA8027" w:rsidR="00D71DA0" w:rsidRPr="00783D8E" w:rsidRDefault="00D71DA0" w:rsidP="00D71DA0">
            <w:pPr>
              <w:tabs>
                <w:tab w:val="left" w:pos="3000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Z poprawy jakości świadczonych usług endoprotezoplastyki skorzystają również osoby starsze i </w:t>
            </w:r>
            <w:r w:rsidR="00AD5FD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osoby z 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niepełnosprawn</w:t>
            </w:r>
            <w:r w:rsidR="00AD5FD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ością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przez zwiększenie prawdopodobieństwa przywrócenia sprawności lub zmniejszenia dolegliwości u tych osób.  </w:t>
            </w:r>
          </w:p>
        </w:tc>
      </w:tr>
      <w:tr w:rsidR="00D71DA0" w:rsidRPr="00D71DA0" w14:paraId="353D4A18" w14:textId="77777777" w:rsidTr="000F50C3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677BB96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084E835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048" w:type="dxa"/>
            <w:gridSpan w:val="22"/>
            <w:shd w:val="clear" w:color="auto" w:fill="FFFFFF"/>
          </w:tcPr>
          <w:p w14:paraId="55CD04C8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Nie dotyczy</w:t>
            </w:r>
          </w:p>
        </w:tc>
      </w:tr>
      <w:tr w:rsidR="00D71DA0" w:rsidRPr="00D71DA0" w14:paraId="635A0829" w14:textId="77777777" w:rsidTr="000F50C3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0B50419B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20F18458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6C6EDDD0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Opracowano na podstawie danych przekazanych przez NFZ.</w:t>
            </w:r>
          </w:p>
          <w:p w14:paraId="74405717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3871DCE5" w14:textId="77777777" w:rsidTr="000F50C3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FF80203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 Zmiana obciążeń regulacyjnych (w tym obowiązków informacyjnych) wynikających z projektu</w:t>
            </w:r>
          </w:p>
        </w:tc>
      </w:tr>
      <w:tr w:rsidR="00D71DA0" w:rsidRPr="00D71DA0" w14:paraId="7FBDA713" w14:textId="77777777" w:rsidTr="000F50C3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033412B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X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nie dotyczy</w:t>
            </w:r>
          </w:p>
        </w:tc>
      </w:tr>
      <w:tr w:rsidR="00D71DA0" w:rsidRPr="00D71DA0" w14:paraId="37986D52" w14:textId="77777777" w:rsidTr="000F50C3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29BF8C80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Wprowadzane są obciążenia poza bezwzględnie wymaganymi przez UE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(szczegóły w odwróconej tabeli zgodności).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347DDA0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tak</w:t>
            </w:r>
          </w:p>
          <w:p w14:paraId="5B21011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nie</w:t>
            </w:r>
          </w:p>
          <w:p w14:paraId="1C34FB46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  nie dotyczy</w:t>
            </w:r>
          </w:p>
        </w:tc>
      </w:tr>
      <w:tr w:rsidR="00D71DA0" w:rsidRPr="00D71DA0" w14:paraId="7FD3152A" w14:textId="77777777" w:rsidTr="000F50C3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6DA6A1CD" w14:textId="312FAD21" w:rsidR="00D71DA0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zmniejszenie liczby dokumentów </w:t>
            </w:r>
          </w:p>
          <w:p w14:paraId="2C9A2C76" w14:textId="28B16CD9" w:rsidR="00D71DA0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zmniejszenie liczby procedur</w:t>
            </w:r>
          </w:p>
          <w:p w14:paraId="31A86F6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skrócenie czasu na załatwienie sprawy</w:t>
            </w:r>
          </w:p>
          <w:p w14:paraId="25C78A28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inne: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730BE70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zwiększenie liczby dokumentów</w:t>
            </w:r>
          </w:p>
          <w:p w14:paraId="2AAB418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zwiększenie liczby procedur</w:t>
            </w:r>
          </w:p>
          <w:p w14:paraId="06FE8CA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wydłużenie czasu na załatwienie sprawy</w:t>
            </w:r>
          </w:p>
          <w:p w14:paraId="6E67832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inne: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  <w:p w14:paraId="141EE20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71DA0" w:rsidRPr="00D71DA0" w14:paraId="17FB6C62" w14:textId="77777777" w:rsidTr="000F50C3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5FDFE38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Wprowadzane obciążenia są 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B292BE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tak</w:t>
            </w:r>
          </w:p>
          <w:p w14:paraId="65871A8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nie</w:t>
            </w:r>
          </w:p>
          <w:p w14:paraId="0B11C1C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  nie dotyczy</w:t>
            </w:r>
          </w:p>
          <w:p w14:paraId="4343B82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71DA0" w:rsidRPr="00D71DA0" w14:paraId="0DFD9B3D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379AD64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Wpływ na rynek pracy </w:t>
            </w:r>
          </w:p>
        </w:tc>
      </w:tr>
      <w:tr w:rsidR="00D71DA0" w:rsidRPr="00D71DA0" w14:paraId="0F40CDB9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553938B1" w14:textId="16059AF2" w:rsidR="00D71DA0" w:rsidRPr="00D71DA0" w:rsidRDefault="008D2D44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D2D44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Poprawa jakości świadczonych usług endoprotezoplastyki będzie skutkować mniejszą liczbą powikłań, a zatem zmniejszeniem absencji w pracy oraz zmniejszeniem liczby rencistów. Większa liczba pacjentów będzie miała szansę na utrzymanie aktywności na rynku pracy.</w:t>
            </w:r>
          </w:p>
        </w:tc>
      </w:tr>
      <w:tr w:rsidR="00D71DA0" w:rsidRPr="00D71DA0" w14:paraId="3DAAD5A7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4420E981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Wpływ na pozostałe obszary</w:t>
            </w:r>
          </w:p>
        </w:tc>
      </w:tr>
      <w:tr w:rsidR="00D71DA0" w:rsidRPr="00D71DA0" w14:paraId="573AA6B5" w14:textId="77777777" w:rsidTr="000F50C3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5DD32EB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09B36A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środowisko naturalne</w:t>
            </w:r>
          </w:p>
          <w:p w14:paraId="4304236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sytuacja i rozwój regionalny</w:t>
            </w:r>
          </w:p>
          <w:p w14:paraId="10CE703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5AB4EE3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6A2378D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demografia</w:t>
            </w:r>
          </w:p>
          <w:p w14:paraId="6DDFA72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mienie państwowe</w:t>
            </w:r>
          </w:p>
          <w:p w14:paraId="381D1F5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inne: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5049580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28C1E5B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informatyzacja</w:t>
            </w:r>
          </w:p>
          <w:p w14:paraId="3195B48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X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zdrowie</w:t>
            </w:r>
          </w:p>
        </w:tc>
      </w:tr>
      <w:tr w:rsidR="00D71DA0" w:rsidRPr="00D71DA0" w14:paraId="626D2D8C" w14:textId="77777777" w:rsidTr="000F50C3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001A528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08C4DC5F" w14:textId="77777777" w:rsidR="00F0264F" w:rsidRPr="00F0264F" w:rsidRDefault="00F0264F" w:rsidP="00F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F0264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Rejestr stanowi narzędzie analiz pozwalających lepiej zarządzać finansami publicznymi.</w:t>
            </w:r>
          </w:p>
          <w:p w14:paraId="17E25F42" w14:textId="0346EA01" w:rsidR="00D71DA0" w:rsidRPr="00D71DA0" w:rsidRDefault="00F0264F" w:rsidP="00F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F0264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Analizy dotyczące jakości i skuteczności technologii medycznych służą podnoszeniu jakości świadczeń, a dzięki temu również jakości życia osób u których zabiegi endoprotezoplastyki będą wykonywane.</w:t>
            </w:r>
          </w:p>
        </w:tc>
      </w:tr>
      <w:tr w:rsidR="00D71DA0" w:rsidRPr="00D71DA0" w14:paraId="74ECFEC7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117948DD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1"/>
                <w:szCs w:val="21"/>
                <w14:ligatures w14:val="none"/>
              </w:rPr>
              <w:t>Planowane wykonanie przepisów aktu prawnego</w:t>
            </w:r>
          </w:p>
        </w:tc>
      </w:tr>
      <w:tr w:rsidR="00D71DA0" w:rsidRPr="00D71DA0" w14:paraId="1C3454BB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42F716D9" w14:textId="09945468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Rozporządzenie wejdzie w życie po upływie </w:t>
            </w:r>
            <w:r w:rsidR="00646E6E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6 </w:t>
            </w:r>
            <w:r w:rsidR="00FC0C12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>miesi</w:t>
            </w:r>
            <w:r w:rsidR="00646E6E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ęcy </w:t>
            </w: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od dnia ogłoszenia. </w:t>
            </w:r>
          </w:p>
        </w:tc>
      </w:tr>
      <w:tr w:rsidR="00D71DA0" w:rsidRPr="00D71DA0" w14:paraId="7A887382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1EA351DE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1"/>
                <w:szCs w:val="21"/>
                <w14:ligatures w14:val="none"/>
              </w:rPr>
              <w:t>W jaki sposób i kiedy nastąpi ewaluacja efektów projektu oraz jakie mierniki zostaną zastosowane?</w:t>
            </w:r>
          </w:p>
        </w:tc>
      </w:tr>
      <w:tr w:rsidR="00D71DA0" w:rsidRPr="00D71DA0" w14:paraId="1C7A1BE6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2A00B60E" w14:textId="77777777" w:rsidR="004B6FD8" w:rsidRPr="004B6FD8" w:rsidRDefault="00D71DA0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Rejestr jest narzędziem, które umożliwia osiąganie efektów wskazanych w części 2 OSR.</w:t>
            </w:r>
          </w:p>
          <w:p w14:paraId="0543FE29" w14:textId="7854F9B2" w:rsidR="00D71DA0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lastRenderedPageBreak/>
              <w:t>Miernikiem będą generowane analizy i prowadzenie obserwacji zjawisk (cech działań lub przedmiotów) wskazanych w części 2 OSR. Ewaluacja następować będzie na bieżąco, z uwagi na nieprzerwane funkcjonowanie rejestru od 2019 r</w:t>
            </w:r>
          </w:p>
        </w:tc>
      </w:tr>
      <w:tr w:rsidR="00D71DA0" w:rsidRPr="00D71DA0" w14:paraId="26EFE213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138D1874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lastRenderedPageBreak/>
              <w:t xml:space="preserve">Załączniki </w:t>
            </w: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1"/>
                <w:szCs w:val="21"/>
                <w14:ligatures w14:val="none"/>
              </w:rPr>
              <w:t>(istotne dokumenty źródłowe, badania, analizy itp.</w:t>
            </w: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) </w:t>
            </w:r>
          </w:p>
        </w:tc>
      </w:tr>
      <w:tr w:rsidR="00D71DA0" w:rsidRPr="00D71DA0" w14:paraId="571B370A" w14:textId="77777777" w:rsidTr="000F50C3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0AE39015" w14:textId="5A1C736B" w:rsidR="00D71DA0" w:rsidRPr="00D71DA0" w:rsidRDefault="004B6FD8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Szablon oceny skutków dla ochrony danych. </w:t>
            </w:r>
          </w:p>
        </w:tc>
      </w:tr>
    </w:tbl>
    <w:p w14:paraId="4A1B6A6D" w14:textId="77777777" w:rsidR="00D71DA0" w:rsidRPr="00D71DA0" w:rsidRDefault="00D71DA0" w:rsidP="00D71DA0">
      <w:pPr>
        <w:spacing w:after="12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282CE35D" w14:textId="77777777" w:rsidR="00E60A4F" w:rsidRDefault="00E60A4F"/>
    <w:sectPr w:rsidR="00E60A4F" w:rsidSect="00D71DA0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C53E4"/>
    <w:multiLevelType w:val="hybridMultilevel"/>
    <w:tmpl w:val="159AF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C12040"/>
    <w:multiLevelType w:val="hybridMultilevel"/>
    <w:tmpl w:val="D1C03A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6919449">
    <w:abstractNumId w:val="0"/>
  </w:num>
  <w:num w:numId="2" w16cid:durableId="1145196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7027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DA0"/>
    <w:rsid w:val="00004F2D"/>
    <w:rsid w:val="00022BD5"/>
    <w:rsid w:val="000444C3"/>
    <w:rsid w:val="00073E8E"/>
    <w:rsid w:val="00080895"/>
    <w:rsid w:val="000E58A2"/>
    <w:rsid w:val="00144E40"/>
    <w:rsid w:val="00145545"/>
    <w:rsid w:val="0015507F"/>
    <w:rsid w:val="00162FBC"/>
    <w:rsid w:val="00175101"/>
    <w:rsid w:val="001B7F3F"/>
    <w:rsid w:val="001C178A"/>
    <w:rsid w:val="001C1CCA"/>
    <w:rsid w:val="00226DF7"/>
    <w:rsid w:val="0024001F"/>
    <w:rsid w:val="002403A4"/>
    <w:rsid w:val="002D03C1"/>
    <w:rsid w:val="00300F06"/>
    <w:rsid w:val="00303AB2"/>
    <w:rsid w:val="00324C7B"/>
    <w:rsid w:val="00366317"/>
    <w:rsid w:val="00397FF7"/>
    <w:rsid w:val="003E081D"/>
    <w:rsid w:val="003E29E8"/>
    <w:rsid w:val="00427846"/>
    <w:rsid w:val="00430451"/>
    <w:rsid w:val="00461D94"/>
    <w:rsid w:val="00466B93"/>
    <w:rsid w:val="004B6FD8"/>
    <w:rsid w:val="004C48C2"/>
    <w:rsid w:val="004D6548"/>
    <w:rsid w:val="004F6E49"/>
    <w:rsid w:val="00515417"/>
    <w:rsid w:val="00543CB9"/>
    <w:rsid w:val="00556C33"/>
    <w:rsid w:val="006039B6"/>
    <w:rsid w:val="00630911"/>
    <w:rsid w:val="00641DD0"/>
    <w:rsid w:val="00646E6E"/>
    <w:rsid w:val="00650469"/>
    <w:rsid w:val="0066172B"/>
    <w:rsid w:val="006943A4"/>
    <w:rsid w:val="006A674B"/>
    <w:rsid w:val="006C013F"/>
    <w:rsid w:val="006D4FE2"/>
    <w:rsid w:val="007025DB"/>
    <w:rsid w:val="00707956"/>
    <w:rsid w:val="00745498"/>
    <w:rsid w:val="00783D8E"/>
    <w:rsid w:val="00784497"/>
    <w:rsid w:val="007A01C6"/>
    <w:rsid w:val="007B1790"/>
    <w:rsid w:val="007C5F8F"/>
    <w:rsid w:val="007E5520"/>
    <w:rsid w:val="007E6A3D"/>
    <w:rsid w:val="00821352"/>
    <w:rsid w:val="0084330A"/>
    <w:rsid w:val="00874E98"/>
    <w:rsid w:val="008A11BB"/>
    <w:rsid w:val="008D2D44"/>
    <w:rsid w:val="008E6D0B"/>
    <w:rsid w:val="00903B04"/>
    <w:rsid w:val="009C179F"/>
    <w:rsid w:val="009C7BAA"/>
    <w:rsid w:val="00A329FA"/>
    <w:rsid w:val="00A47648"/>
    <w:rsid w:val="00A579A9"/>
    <w:rsid w:val="00A8747F"/>
    <w:rsid w:val="00A90922"/>
    <w:rsid w:val="00A922BD"/>
    <w:rsid w:val="00A9607F"/>
    <w:rsid w:val="00AA15E1"/>
    <w:rsid w:val="00AA367C"/>
    <w:rsid w:val="00AA3790"/>
    <w:rsid w:val="00AD5FD2"/>
    <w:rsid w:val="00B170AA"/>
    <w:rsid w:val="00B224D0"/>
    <w:rsid w:val="00B57A1B"/>
    <w:rsid w:val="00C343D5"/>
    <w:rsid w:val="00C63B7A"/>
    <w:rsid w:val="00C8114B"/>
    <w:rsid w:val="00C97BB9"/>
    <w:rsid w:val="00CF14D4"/>
    <w:rsid w:val="00D21CE3"/>
    <w:rsid w:val="00D71DA0"/>
    <w:rsid w:val="00DD1F5E"/>
    <w:rsid w:val="00E4396B"/>
    <w:rsid w:val="00E60A4F"/>
    <w:rsid w:val="00E6213B"/>
    <w:rsid w:val="00E75947"/>
    <w:rsid w:val="00E921B8"/>
    <w:rsid w:val="00EE390C"/>
    <w:rsid w:val="00F0264F"/>
    <w:rsid w:val="00F124C8"/>
    <w:rsid w:val="00F506CF"/>
    <w:rsid w:val="00F55523"/>
    <w:rsid w:val="00F80103"/>
    <w:rsid w:val="00F828DB"/>
    <w:rsid w:val="00F83AB6"/>
    <w:rsid w:val="00F9341D"/>
    <w:rsid w:val="00FA7880"/>
    <w:rsid w:val="00FC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466D"/>
  <w15:chartTrackingRefBased/>
  <w15:docId w15:val="{EC07978A-4AFA-4D01-8A0A-573A44017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1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D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D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D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D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D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D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D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D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D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D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D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D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D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1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D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1D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D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D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DA0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uiPriority w:val="99"/>
    <w:semiHidden/>
    <w:unhideWhenUsed/>
    <w:rsid w:val="00D71D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1DA0"/>
    <w:pPr>
      <w:spacing w:after="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1DA0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6D0B"/>
    <w:pPr>
      <w:spacing w:after="160" w:line="240" w:lineRule="auto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6D0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A329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-dl@mz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2568</Words>
  <Characters>15409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Rocławska Julia</dc:creator>
  <cp:keywords/>
  <dc:description/>
  <cp:lastModifiedBy>Rocławska Julia</cp:lastModifiedBy>
  <cp:revision>2</cp:revision>
  <cp:lastPrinted>2025-08-04T13:01:00Z</cp:lastPrinted>
  <dcterms:created xsi:type="dcterms:W3CDTF">2025-11-12T08:55:00Z</dcterms:created>
  <dcterms:modified xsi:type="dcterms:W3CDTF">2025-11-12T08:55:00Z</dcterms:modified>
</cp:coreProperties>
</file>