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4DC1C527" w14:textId="77777777" w:rsidR="0067580D" w:rsidRPr="0067580D" w:rsidRDefault="0067580D" w:rsidP="0067580D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67580D">
        <w:rPr>
          <w:rFonts w:ascii="Times New Roman" w:hAnsi="Times New Roman"/>
          <w:color w:val="000000"/>
          <w:sz w:val="24"/>
          <w:szCs w:val="24"/>
        </w:rPr>
        <w:t>Projekt rozporządzenia Ministra Zdrowia w sprawie kursu reedukacyjnego w zakresie problematyki przeciwalkoholowej i przeciwdziałania narkomanii oraz szczegółowych warunków i trybu kierowania na badania lekarskie lub badania psychologiczne w zakresie psychologii transportu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A45F5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D00C1C"/>
    <w:rsid w:val="00D21A76"/>
    <w:rsid w:val="00D66CC3"/>
    <w:rsid w:val="00E43B2A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25</cp:revision>
  <dcterms:created xsi:type="dcterms:W3CDTF">2025-09-23T19:44:00Z</dcterms:created>
  <dcterms:modified xsi:type="dcterms:W3CDTF">2025-12-08T12:14:00Z</dcterms:modified>
</cp:coreProperties>
</file>